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623. “盲盒二手市场，隐藏款溢价”——盲盒二手交易与隐藏款炒作消费研究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研究对象：参与盲盒二手交易（闲鱼/潮玩社群）的玩家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核心问题/变量：盲盒重复/隐藏款处理、二手溢价成交、炒作与投机、圈内潮流变化、平台规范感知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盲盒重复/隐藏款处理、二手溢价成交（平台规范感知）之间存在可检验的关系，且受群体差异（年龄/收入/地区/身份）调节（待验证）；H2：盲盒重复/隐藏款处理、二手溢价成交是影响平台规范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🔶盲盒二手交易报道（媒体须下载核验）；✅盲盒经营规范指引（市场监管总局）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潮玩社群问卷+二手平台数据；获奖黑名单核对：近三年无盲盒二手获奖题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🔶盲盒二手交易报道（媒体须下载核验）；✅盲盒经营规范指引（市场监管总局）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