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765. “同人创作，用爱发电”——同人创作（小说、条漫、周边）经济研究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研究对象：参与同人创作（写文/画画/制周边）的爱好者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核心问题/变量：同人创作动机（热爱/表达/圈层）、创作投入（时间/工具）、同人周边制作（谷子/吧唧）成本、平台打赏/约稿变现、版权边界认知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同人创作动机（热爱/表达/圈层）、创作投入（时间/工具）（版权边界认知）之间存在可检验的关系，且受群体差异（年龄/收入/地区/身份）调节（待验证）；H2：同人创作动机（热爱/表达/圈层）、创作投入（时间/工具）是影响版权边界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🔶同人创作生态报道（媒体须下载核验）；✅著作权法同人边界（最高法解释）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同人社群问卷+约稿平台访谈；获奖黑名单核对：近三年无同人创作获奖题（区别于603改娃）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🔶同人创作生态报道（媒体须下载核验）；✅著作权法同人边界（最高法解释）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