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791. “虚拟主播打赏，赛博追星”——虚拟主播（VUP）打赏与粉丝经济研究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研究对象：打赏虚拟主播（VUP/VTuber）的粉丝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核心问题/变量：打赏动机（支持/陪伴/上舰）、月打赏金额、虚拟人设信任、与真人主播对比、陪伴感与孤独、理性消费认知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H1：打赏动机（支持/陪伴/上舰）、月打赏金额显著影响理性消费认知（待验证）；H2：不同人群（年龄/收入/城市等级）在上述关系中存在调节作用（待验证）。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🔶虚拟主播市场数据（行业报告须下载核验）；✅直播打赏规范（网信办）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虚拟主播粉丝社群问卷+MCN访谈；获奖黑名单核对：近三年无虚拟主播打赏获奖题（区别于186虚拟偶像）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🔶虚拟主播市场数据（行业报告须下载核验）；✅直播打赏规范（网信办）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