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832. “痛包文化，二次元行走名片”——痛包（动漫同人包挂饰）消费研究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研究对象：制作/背痛包的二次元爱好者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核心问题/变量：痛包制作动机（圈层标识/展示爱）、包与谷子挂件消费、手作成本、漫展展示、社交圈层认可、更新频率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H1：痛包制作动机（圈层标识/展示爱）、包与谷子挂件消费显著影响更新频率（待验证）；H2：不同人群（年龄/收入/城市等级）在上述关系中存在调节作用（待验证）。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🔶痛包文化报道（动漫媒体须下载核验）；✅二次元周边消费规范（市场监管）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二次元社群问卷+谷子店访谈；获奖黑名单核对：近三年无痛包获奖题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🔶痛包文化报道（动漫媒体须下载核验）；✅二次元周边消费规范（市场监管）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