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858. “二次元谷店开店潮，人傻钱多”——二次元谷子店（线下谷店）经营与消费研究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研究对象：开谷子店/逛线下谷店的经营者与消费者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核心问题/变量：谷子店开店潮（商场负一层）、进货与选品（IP热度）、定价与客流、消费者逛店动机、经营盈利状况、闭店潮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H1：谷子店开店潮（商场负一层）、进货与选品（IP热度）显著影响闭店潮（待验证）；H2：不同人群（年龄/收入/城市等级）在上述关系中存在调节作用（待验证）。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🔶谷子店开店与闭店潮报道（行业媒体须下载核验）；✅二次元消费与商业体政策（商务部）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谷子店实地问卷+店主访谈；获奖黑名单核对：近三年无谷子店经营获奖题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🔶谷子店开店与闭店潮报道（行业媒体须下载核验）；✅二次元消费与商业体政策（商务部）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