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874. “二次元联名餐饮，主题餐厅排队”——IP联名主题餐饮（游戏、动漫）消费研究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研究对象：光顾IP联名餐饮（游戏/动漫主题店）的粉丝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核心问题/变量：联名餐厅消费动机（IP粉/打卡）、限定菜单与周边（杯套/立牌）、排队与黄牛（黄牛周边）、复购率、IP联动频次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H1：联名餐厅消费动机（IP粉/打卡）、限定菜单与周边（杯套/立牌）显著影响IP联动频次（待验证）；H2：不同人群（年龄/收入/城市等级）在上述关系中存在调节作用（待验证）。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🔶IP联名餐饮热潮报道（餐饮媒体须下载核验）；✅著作权与商标授权规范（最高法）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联名餐厅实地问卷+品牌方访谈；获奖黑名单核对：近三年无IP联名餐饮获奖题（区别于194餐饮联名泛题）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🔶IP联名餐饮热潮报道（餐饮媒体须下载核验）；✅著作权与商标授权规范（最高法）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