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948. “二次元谷子展，线下集会”——二次元主题展会（谷子展、漫展）消费研究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研究对象：参加漫展/谷子展（布展消费）的二次元爱好者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核心问题/变量：漫展参与频次与消费（门票/周边/摄影）、谷子展淘货、coser与摄影、展会体验（人流/氛围）、年度预算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漫展参与频次与消费（门票/周边/摄影）、谷子展淘货（年度预算）之间存在可检验的关系，且受群体差异（年龄/收入/地区/身份）调节（待验证）；H2：漫展参与频次与消费（门票/周边/摄影）、谷子展淘货是影响年度预算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🔶动漫展会产业政策（文旅部）；🔶漫展市场数据（须下载核验）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漫展现场问卷+主办方访谈；获奖黑名单核对：近三年无漫展消费获奖题（区别于749潮玩展）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🔶动漫展会产业政策（文旅部）；🔶漫展市场数据（须下载核验）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