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956. “二次元电竞女孩，女性玩家”——女性玩家（电竞、乙游）游戏消费研究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研究对象：深度游戏（电竞/乙游/手游）的女性玩家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核心问题/变量：女性玩家游戏类型偏好、游戏内消费（皮肤/月卡/抽卡）、电竞参与（女队/观众）、圈层社交、性别刻板印象打破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H1：女性玩家游戏类型偏好、游戏内消费（皮肤/月卡/抽卡）显著影响性别刻板印象打破（待验证）；H2：不同人群（年龄/收入/城市等级）在上述关系中存在调节作用（待验证）。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🔶游戏用户与防沉迷政策（国家新闻出版署）；🔶女性游戏市场数据（行业报告须下载核验）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女性玩家问卷+游戏公司访谈；获奖黑名单核对：近三年无女性玩家消费获奖题（区别于718乙游周边）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🔶游戏用户与防沉迷政策（国家新闻出版署）；🔶女性游戏市场数据（行业报告须下载核验）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