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980. “手办收藏，毕业卖惨”——手办（含雕像）收藏与二手变现研究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研究对象：收藏手办/雕像（含退坑出二手）的玩家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核心问题/变量：手办收藏投入（月度/年度）、预定与补款（定金）、二手交易（退坑回血）、柜子空间焦虑、限定溢价、收藏满足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H1：手办收藏投入（月度/年度）、预定与补款（定金）显著影响收藏满足（待验证）；H2：不同人群（年龄/收入/城市等级）在上述关系中存在调节作用（待验证）。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🔶手办/潮玩市场数据（行业报告须下载核验）；✅模型玩具质量规范（市场监管总局）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手办社群问卷+二手平台数据；获奖黑名单核对：近三年无手办收藏获奖题（区别于749潮玩展/623盲盒二手）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🔶手办/潮玩市场数据（行业报告须下载核验）；✅模型玩具质量规范（市场监管总局）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