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003. “夕阳骑士，骑行看世界”——中老年骑行运动消费研究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研究对象：参与骑行运动的中老年人（45-70岁）及骑行俱乐部成员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核心问题/变量：中老年骑行动机（健身/社交/旅行）、骑行装备（车/头盔/码表）消费、俱乐部与赛事参与、身体负荷安全认知、骑行旅行（长途/川藏线）意愿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中老年骑行动机（健身/社交/旅行）、骑行装备（车/头盔/码表）消费（骑行旅行（长途/川藏线）意愿）之间存在可检验的关系，且受群体差异（年龄/收入/地区/身份）调节（待验证）；H2：中老年骑行动机（健身/社交/旅行）、骑行装备（车/头盔/码表）消费是影响骑行旅行（长途/川藏线）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✅全民健身条例与骑行道建设政策（体育总局、住建部）；🔶骑行人群画像数据（行业报告须下载核验）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骑行俱乐部渠道+老年骑行社群问卷；获奖黑名单核对：近三年无中老年骑行题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✅全民健身条例与骑行道建设政策（体育总局、住建部）；🔶骑行人群画像数据（行业报告须下载核验）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