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075. “旱雪四季滑，南方滑雪梦”——旱雪场、四季滑雪训练消费研究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建议地区：上海（可按省/市细化抽样框）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研究对象：南方城市去室内滑雪场/冰场的消费者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核心问题/变量：体验动机、价格敏感度、满意度、复购意愿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H1：体验动机、价格敏感度显著影响复购意愿（待验证）；H2：不同人群（年龄/收入/城市等级）在上述关系中存在调节作用（待验证）。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✅冰雪旅游从"看雪"到"玩雪"、大众冰雪消费多点向好（微博报告引述）；✅冰雪经济破万亿后进入"全民参与"阶段（中国旅游研究院）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室内滑雪馆（广州/上海/深圳等）现场调研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✅冰雪旅游从"看雪"到"玩雪"、大众冰雪消费多点向好（微博报告引述）；✅冰雪经济破万亿后进入"全民参与"阶段（中国旅游研究院）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