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1016. “板式网球Padel，社交新贵”——板式网球（Padel）运动消费与社交研究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研究对象：参与板式网球（Padel）的玩家与场馆运营方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核心问题/变量：Padel参与动机（社交/新潮/低门槛）、场馆预订与费用、球拍装备消费、社群约球、与网球/匹克球选择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Padel参与动机（社交/新潮/低门槛）、场馆预订与费用（与网球/匹克球选择）之间存在可检验的关系，且受群体差异（年龄/收入/地区/身份）调节（待验证）；H2：Padel参与动机（社交/新潮/低门槛）、场馆预订与费用是影响与网球/匹克球选择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🔶新兴球类运动推广政策（体育总局）；🔶Padel场馆建设报道（须下载核验）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Padel场馆问卷+教练访谈；获奖黑名单核对：近三年无板式网球获奖题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🔶新兴球类运动推广政策（体育总局）；🔶Padel场馆建设报道（须下载核验）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