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1017. “海上冲浪，浪尖自由”——冲浪运动（海滨俱乐部）消费研究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研究对象：体验冲浪/报冲浪课的游客与爱好者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核心问题/变量：冲浪动机（自由/出片/社交）、课程费用（200-500/次）、装备购买（冲浪板/防晒衣）、安全（救生员/暗流）、海滨目的地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H1：冲浪动机（自由/出片/社交）、课程费用（200-500/次）显著影响海滨目的地（待验证）；H2：不同人群（年龄/收入/城市等级）在上述关系中存在调节作用（待验证）。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🔶水上运动产业发展规划（体育总局）；🔶冲浪目的地数据（文旅部门须下载核验）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冲浪俱乐部问卷+教练访谈；获奖黑名单核对：近三年无冲浪运动获奖题（区别于460模拟冲浪、743陆冲）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🔶水上运动产业发展规划（体育总局）；🔶冲浪目的地数据（文旅部门须下载核验）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