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1130. “运动康复中心，第二次运动生涯”——运动康复中心（机构化）消费研究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研究对象：在运动康复中心（机构而非医院）康复的运动人群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核心问题/变量：运动康复机构选择（康复师资质）、康复疗程费用（数千元）、与医院康复对比、运动损伤预防、效果复测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运动康复机构选择（康复师资质）、康复疗程费用（数千元）（效果复测）之间存在可检验的关系，且受群体差异（年龄/收入/地区/身份）调节（待验证）；H2：运动康复机构选择（康复师资质）、康复疗程费用（数千元）是影响效果复测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🔶运动康复产业政策（体育总局）；🔶康复机构市场数据（行业报告须下载核验）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康复中心渠道+学员问卷；获奖黑名单核对：近三年无运动康复中心获奖题（区别于876运动康复泛题，聚焦机构业态）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🔶运动康复产业政策（体育总局）；🔶康复机构市场数据（行业报告须下载核验）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