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1131. “全民健身步道，15分钟健身圈”——城市健身步道、15分钟健身圈使用研究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确定行业：05_体育健身与户外运动（选择理由：贴合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研究对象：使用城市健身步道（滨水/绿道）锻炼的市民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核心问题/变量：健身步道使用频次（跑步/散步）、15分钟健身圈覆盖、步道设施（灯光/厕所/饮水）、与健身房替代、满意度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健身步道使用频次（跑步/散步）、15分钟健身圈覆盖（满意度）之间存在可检验的关系，且受群体差异（年龄/收入/地区/身份）调节（待验证）；H2：健身步道使用频次（跑步/散步）、15分钟健身圈覆盖是影响满意度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🔶全民健身设施规划政策（体育总局、住建部）；🔶健身步道建设数据（须下载核验）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步道实地问卷+体育部门访谈；获奖黑名单核对：近三年无健身步道获奖题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🔶全民健身设施规划政策（体育总局、住建部）；🔶健身步道建设数据（须下载核验）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