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1132. “匹克球进校园，老少皆宜球”——匹克球校园推广（体育课）研究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研究对象：学校开展匹克球课程的学生与教师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核心问题/变量：匹克球进校（场地小/上手快）、学生参与度、与传统球类课程对比、器材采购、师资培训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匹克球进校（场地小/上手快）、学生参与度（师资培训）之间存在可检验的关系，且受群体差异（年龄/收入/地区/身份）调节（待验证）；H2：匹克球进校（场地小/上手快）、学生参与度是影响师资培训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🔶新兴运动进校园政策（教育部、体育总局）；🔶匹克球校园试点数据（须下载核验）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学校问卷+体育教师访谈；获奖黑名单核对：近三年无匹克球进校获奖题（区别于601匹克球消费，聚焦校园推广）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🔶新兴运动进校园政策（教育部、体育总局）；🔶匹克球校园试点数据（须下载核验）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