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1133. “运动搭子App，约球新方式”——运动搭子（约球平台）使用研究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研究对象：通过运动App/社群约运动搭子的用户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核心问题/变量：运动搭子需求（羽毛球/网球/跑步）、约球平台功能（场地/匹配）、AA费用、陌生搭子信任、固定球局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H1：运动搭子需求（羽毛球/网球/跑步）、约球平台功能（场地/匹配）显著影响固定球局（待验证）；H2：不同人群（年龄/收入/城市等级）在上述关系中存在调节作用（待验证）。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🔶全民健身数字化政策（体育总局）；🔶运动社交App数据（行业报告须下载核验）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约球App用户问卷+平台访谈；获奖黑名单核对：近三年无运动搭子获奖题（区别于971骑行搭子，聚焦全运动约球）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🔶全民健身数字化政策（体育总局）；🔶运动社交App数据（行业报告须下载核验）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