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118. “城市 'cityride'，骑行即生活”——城市骑行通勤与骑行消费升级研究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研究对象：有骑行通勤/休闲骑行习惯的城市居民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核心问题/变量：骑行动机、骑行装备（整车/配件/服饰）支出、参与群体（骑行团）、满意度、持续习惯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骑行动机、骑行装备（整车/配件/服饰）支出（持续习惯）之间存在可检验的关系，且受群体差异（年龄/收入/地区/身份）调节（待验证）；H2：骑行动机、骑行装备（整车/配件/服饰）支出是影响持续习惯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🔶城市骑行热与骑行产业增长（中国自行车协会数据，🔶需下载）；✅绿色出行、双碳政策背景（发改委/交通部）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骑行店/骑行团/绿道现场；差异化于第一批智能穿戴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🔶城市骑行热与骑行产业增长（中国自行车协会数据，🔶需下载）；✅绿色出行、双碳政策背景（发改委/交通部）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