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1341. “骑行友好城市，自行车道成网”——骑行友好城市（慢行系统）使用研究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研究对象：使用骑行友好设施（自行车道/骑行绿道）的通勤与健身骑友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核心问题/变量：骑行友好城市（慢行系统建设）、自行车道连贯性（被占用）、骑行通勤比例、骑行绿道（滨江/公园）、骑行友好度评比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骑行友好城市（慢行系统建设）、自行车道连贯性（被占用）（骑行友好度评比）之间存在可检验的关系，且受群体差异（年龄/收入/地区/身份）调节（待验证）；H2：骑行友好城市（慢行系统建设）、自行车道连贯性（被占用）是影响骑行友好度评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🔶绿色出行与慢行系统政策（住建部、交通运输部）；🔶骑行友好城市数据（须下载核验）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骑友问卷+规划/交通部门访谈；获奖黑名单核对：近三年无骑行友好城市获奖题（区别于694骑行通勤泛题，聚焦城市慢行系统）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🔶绿色出行与慢行系统政策（住建部、交通运输部）；🔶骑行友好城市数据（须下载核验）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