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1347. “夜校运动课，下班后大汗淋漓”——夜校运动课（下班后锻炼）消费研究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研究对象：报名夜校运动课（舞蹈/拳击/球类）的上班族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核心问题/变量：夜校运动课（低价课包）、下班后运动（解压）、课程种类（尊巴/搏击）、与健身房对比、社交、续课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夜校运动课（低价课包）、下班后运动（解压）（续课）之间存在可检验的关系，且受群体差异（年龄/收入/地区/身份）调节（待验证）；H2：夜校运动课（低价课包）、下班后运动（解压）是影响续课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🔶全民健身普及政策（体育总局）；🔶夜校运动课数据（须下载核验）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夜校机构问卷+学员访谈；获奖黑名单核对：近三年无夜校运动课获奖题（区别于725/958夜校泛题，聚焦运动课程）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🔶全民健身普及政策（体育总局）；🔶夜校运动课数据（须下载核验）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