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1348. “体育生就业，操场外的赛场”——体育专业毕业生（就业）去向研究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研究对象：体育专业毕业生（就业方向）及用人单位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核心问题/变量：体育生就业去向（体育老师/教练/健身）、就业率与收入、转行（跨界）、体育培训行业需求、运动员转型、创业（体能馆）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育生就业去向（体育老师/教练/健身）、就业率与收入（创业（体能馆））之间存在可检验的关系，且受群体差异（年龄/收入/地区/身份）调节（待验证）；H2：体育生就业去向（体育老师/教练/健身）、就业率与收入是影响创业（体能馆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🔶体育产业与体育人才政策（体育总局）；🔶体育就业数据（须下载核验）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体育院校问卷+体育产业企业访谈；获奖黑名单核对：近三年无体育生就业获奖题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🔶体育产业与体育人才政策（体育总局）；🔶体育就业数据（须下载核验）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