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225. “运动小达人”——儿童体适能、运动培训消费需求研究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研究对象：3—12岁儿童家长（报过体适能/游泳/篮球等）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核心问题/变量：报班动机（健康/身高/性格）、课程偏好、费用与频次、教练信任、满意度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健康/身高/性格）、课程偏好（满意度）之间存在可检验的关系，且受群体差异（年龄/收入/地区/身份）调节（待验证）；H2：报班动机（健康/身高/性格）、课程偏好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🔶儿童体适能市场规模（行业报告需核验）；✅"健康中国"儿童青少年体质健康政策（政策背景）；✅体育培训行业监管规范（🔶）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儿童运动馆/培训机构渠道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🔶儿童体适能市场规模（行业报告需核验）；✅"健康中国"儿童青少年体质健康政策（政策背景）；✅体育培训行业监管规范（🔶）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