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232. “钓鱼年轻化，'水上高尔夫'”——青年钓鱼消费行为与装备支出研究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研究对象：25—45岁钓鱼爱好者（含路亚/海钓）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核心问题/变量：入坑动机（解压/社交/挑战）、装备支出（竿/轮/艇）、钓场/赛事参与、年度花费、圈层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H1：入坑动机（解压/社交/挑战）、装备支出（竿/轮/艇）显著影响圈层（待验证）；H2：不同人群（年龄/收入/城市等级）在上述关系中存在调节作用（待验证）。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✅全国钓鱼爱好者近1.5亿、25—45岁占近50%；✅2025年一个电商平台卖出4.04亿单垂钓商品、路亚艇入门16万/高端74万；✅"90后"女孩第一年装备花三四万、展会单趟消费3000元起（媒体案例）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钓鱼社群/钓具店/钓鱼展会渠道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✅全国钓鱼爱好者近1.5亿、25—45岁占近50%；✅2025年一个电商平台卖出4.04亿单垂钓商品、路亚艇入门16万/高端74万；✅"90后"女孩第一年装备花三四万、展会单趟消费3000元起（媒体案例）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