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233. “岩馆进商场，引流还是跟风”——商场攀岩馆供给侧与商圈引流效果研究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研究对象：去过攀岩馆/室内运动馆的 18—35 岁消费者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核心问题/变量：参与动机（运动/社交/挑战）、课程与门票消费、装备购买、粘性、复购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H1：参与动机（运动/社交/挑战）、课程与门票消费显著影响复购（待验证）；H2：不同人群（年龄/收入/城市等级）在上述关系中存在调节作用（待验证）。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🔶攀岩入奥带动国内攀岩馆扩张（媒体/行业数据需核验）；✅《户外运动产业发展规划》（体育总局政策背景）；✅"三亿人上冰雪"后的室内运动热潮（🔶）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攀岩馆/运动馆现场问卷；与109题（匹克球等）区分：聚焦攀岩专项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🔶攀岩入奥带动国内攀岩馆扩张（媒体/行业数据需核验）；✅《户外运动产业发展规划》（体育总局政策背景）；✅"三亿人上冰雪"后的室内运动热潮（🔶）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