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234. “跑一场马，爱一座城”——马拉松赛事对城市消费的带动效应研究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研究对象：跑过马拉松/半马的跑者及观赛市民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核心问题/变量：报名费、差旅住宿、装备消费、城市旅游联动、赛事体验、重跑意愿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H1：报名费、差旅住宿显著影响重跑意愿（待验证）；H2：不同人群（年龄/收入/城市等级）在上述关系中存在调节作用（待验证）。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🔶马拉松经济（中国田径协会《中国路跑产业发展报告》需下载）；✅赛事带动住宿餐饮消费案例（媒体）；✅全民健身政策背景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马拉松赛事现场+跑团社群；与01题（通用赛事）区分：聚焦马拉松专项经济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🔶马拉松经济（中国田径协会《中国路跑产业发展报告》需下载）；✅赛事带动住宿餐饮消费案例（媒体）；✅全民健身政策背景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