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236. “匹克球，新中产运动”——匹克球消费行为与运动社交研究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研究对象：玩过飞盘/腰旗橄榄球/桨板等的 18—30 岁年轻人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核心问题/变量：参与动机（社交/出片/运动）、场地与装备支出、组织化程度、粘性、退潮原因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动机（社交/出片/运动）、场地与装备支出（退潮原因）之间存在可检验的关系，且受群体差异（年龄/收入/地区/身份）调节（待验证）；H2：参与动机（社交/出片/运动）、场地与装备支出是影响退潮原因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🔶飞盘/腰旗运动风潮（2022—2026媒体报道，需引原文）；✅新兴运动项目纳入全民健身（政策背景🔶）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城市运动社群/公园现场；与109题区分：聚焦团队社交属性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🔶飞盘/腰旗运动风潮（2022—2026媒体报道，需引原文）；✅新兴运动项目纳入全民健身（政策背景🔶）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