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255. “情绪健身房，减压新去处”——情绪释放、减压空间（发泄屋、蹦床、拳击解压）消费研究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研究对象：去过解压体验空间（发泄屋/解压馆/拳击馆）的年轻人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核心问题/变量：减压动机、项目偏好、价格接受、效果感知、复购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H1：减压动机、项目偏好显著影响复购（待验证）；H2：不同人群（年龄/收入/城市等级）在上述关系中存在调节作用（待验证）。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✅情绪经济27186亿元（2025年，已核验）；✅情绪疗愈经济近4万亿（第五六轮证据）；🔶发泄屋/解压馆为新兴业态（媒体）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解压馆门店现场调研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✅情绪经济27186亿元（2025年，已核验）；✅情绪疗愈经济近4万亿（第五六轮证据）；🔶发泄屋/解压馆为新兴业态（媒体）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