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037. “情绪运动，汗水解压”——青年情绪驱动型健身、减压运动消费研究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研究对象：18—35 岁参与健身、飞盘、夜跑等运动的青年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核心问题/变量：情绪调节动机、运动参与度、消费金额、满意与坚持意愿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H1：情绪调节动机、运动参与度显著影响满意与坚持意愿（待验证）；H2：不同人群（年龄/收入/城市等级）在上述关系中存在调节作用（待验证）。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