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394. “荧光夜跑，夜间运动潮”——夜间运动健身（夜跑、夜骑、广场舞）消费研究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建议地区：北京（可按省/市细化抽样框）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研究对象：有夜间运动习惯（跑步/骑行/球类）的城市居民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核心问题/变量：运动时段偏好（晨/夜）、夜跑装备（荧光/反光）、商圈夜运动参与（荧光跑活动）、运动消费、动机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H1：运动时段偏好（晨/夜）、夜跑装备（荧光/反光）显著影响动机（待验证）；H2：不同人群（年龄/收入/城市等级）在上述关系中存在调节作用（待验证）。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✅蓝色港湾荧光夜跑带动燕莎蓝港商圈消费金额同比+43.6%（北京政府）；✅夜间时段活跃用户9.37亿；🔶夜跑赛事/夜骑活动（媒体）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夜跑团/运动社群渠道；与253题（跑步装备）区分：聚焦夜间场景与商圈联动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✅蓝色港湾荧光夜跑带动燕莎蓝港商圈消费金额同比+43.6%（北京政府）；✅夜间时段活跃用户9.37亿；🔶夜跑赛事/夜骑活动（媒体）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