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456. “攀岩入奥，岩壁人生”——攀岩、抱石运动消费行为研究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建议地区：杭州（可按省/市细化抽样框）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确定行业：05_体育健身与户外运动（选择理由：贴合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研究对象：体验过攀岩/抱石的大众消费者（尤其00后）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核心问题/变量：参与动机（解压/社交/竞技）、场馆选择（商场馆）、单次价格（门票/课程）、装备消费、持续参与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H1：参与动机（解压/社交/竞技）、场馆选择（商场馆）显著影响持续参与（待验证）；H2：不同人群（年龄/收入/城市等级）在上述关系中存在调节作用（待验证）。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✅2026年全球攀岩市场规模预计120亿美元、室内攀岩馆为主要增长动力；✅攀岩成商场标志性体验项目、从小众走向大众；✅攀岩入奥及杭州亚运会热度（已核验）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攀岩馆现场+攀岩社群；与第一批（攀岩馆）区分：聚焦消费深化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✅2026年全球攀岩市场规模预计120亿美元、室内攀岩馆为主要增长动力；✅攀岩成商场标志性体验项目、从小众走向大众；✅攀岩入奥及杭州亚运会热度（已核验）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