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457. “飞盘社交，运动交友”——飞盘、腰旗橄榄球等新兴团队运动消费研究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研究对象：参与过飞盘/腰旗橄榄球/匹克球的新兴运动爱好者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核心问题/变量：入坑渠道（社交平台）、装备花费、活动组织（俱乐部/付费局）、社交属性、坚持率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H1：入坑渠道（社交平台）、装备花费显著影响坚持率（待验证）；H2：不同人群（年龄/收入/城市等级）在上述关系中存在调节作用（待验证）。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✅2026年中国飞盘市场规模预计突破50亿元、专业装备护具需求激增；✅"运动+社交"闭环生态、商场轻量化体验业态；✅匹克球全球兴起（媒体🔶需核验）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飞盘俱乐部/运动社群渠道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✅2026年中国飞盘市场规模预计突破50亿元、专业装备护具需求激增；✅"运动+社交"闭环生态、商场轻量化体验业态；✅匹克球全球兴起（媒体🔶需核验）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