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458. “室内滑雪，四季皆可滑”——室内滑雪场消费行为与冰雪经济研究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研究对象：去过室内滑雪场（融创雪世界等）或冰雪研学的人群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核心问题/变量：参与动机（家门口体验/亲子/夏令营）、票价与课程、装备租赁、vs室外滑雪对比、复购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（家门口体验/亲子/夏令营）、票价与课程（复购）之间存在可检验的关系，且受群体差异（年龄/收入/地区/身份）调节（待验证）；H2：参与动机（家门口体验/亲子/夏令营）、票价与课程是影响复购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✅2025-2026冰雪季室内滑雪场客流量占比预计超25%（部分地区可能破30%）、打破季节地域限制；✅冰雪运动普及政策（"带动三亿人参与冰雪运动"）；✅冰雪经济规模（第一批已核验）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室内雪场现场+冰雪社群渠道；与01题（冰雪旅游）、滑雪培训衔接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✅2025-2026冰雪季室内滑雪场客流量占比预计超25%（部分地区可能破30%）、打破季节地域限制；✅冰雪运动普及政策（"带动三亿人参与冰雪运动"）；✅冰雪经济规模（第一批已核验）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