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552. “拳击格斗，汗水出气”——搏击、泰拳等格斗训练消费研究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研究对象：参与拳击/泰拳/巴西柔术训练的年轻人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核心问题/变量：格斗训练动机（防身/解压/身材）、课程费用与频次、教练信任、赛事观赛联动消费、坚持率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H1：格斗训练动机（防身/解压/身材）、课程费用与频次显著影响坚持率（待验证）；H2：不同人群（年龄/收入/城市等级）在上述关系中存在调节作用（待验证）。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🔶格斗健身行业发展数据（行业报告须下载核验）；✅全民健身计划（国务院）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格斗馆问卷+馆长访谈；区别于255（情绪解压）聚焦格斗专项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🔶格斗健身行业发展数据（行业报告须下载核验）；✅全民健身计划（国务院）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