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553. “女生撸铁，力量之美”——女性力量训练、女子健身房消费研究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研究对象：参与力量训练/撸铁的年轻女性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核心问题/变量：女性力量训练动机（塑形/自信/健康）、对器械区刻板印象感知、女子专用健身房需求、私教消费、身材焦虑转化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女性力量训练动机（塑形/自信/健康）、对器械区刻板印象感知（身材焦虑转化）之间存在可检验的关系，且受群体差异（年龄/收入/地区/身份）调节（待验证）；H2：女性力量训练动机（塑形/自信/健康）、对器械区刻板印象感知是影响身材焦虑转化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🔶女性健身消费数据（健身行业报告须下载核验）；✅全民健身与女性健康政策（体育总局、妇联）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健身房问卷+女性健身社群；区别于251（私教）聚焦女性视角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🔶女性健身消费数据（健身行业报告须下载核验）；✅全民健身与女性健康政策（体育总局、妇联）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