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554. “网球热，郑钦文效应”——网球运动消费与明星效应研究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研究对象：因球星效应新接触网球的青少年及家长、网球爱好者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核心问题/变量：网球入门动机（明星/潮流）、场地预订难度、装备与课程消费、约球社交、青少年网球培训热潮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H1：网球入门动机（明星/潮流）、场地预订难度显著影响青少年网球培训热潮（待验证）；H2：不同人群（年龄/收入/城市等级）在上述关系中存在调节作用（待验证）。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🔶网球消费增长报道（权威媒体须下载核验）；✅体育强国建设政策（国务院）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网球馆/培训机构问卷+教练访谈；区别于457（飞盘）等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🔶网球消费增长报道（权威媒体须下载核验）；✅体育强国建设政策（国务院）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