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555. “普拉提瑜伽，体态美学”——普拉提、瑜伽馆消费与体态管理研究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研究对象：普拉提/瑜伽课程用户（以女性为主）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核心问题/变量：练习动机（体态/塑形/减压）、课程价格与续费、私教与团课选择、居家跟练替代、品牌馆选择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H1：练习动机（体态/塑形/减压）、课程价格与续费显著影响品牌馆选择（待验证）；H2：不同人群（年龄/收入/城市等级）在上述关系中存在调节作用（待验证）。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🔶普拉提瑜伽市场数据（健身行业报告须下载核验）；✅体医融合政策（体育总局、卫健委）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瑜伽普拉提馆问卷+教练访谈；区别于254（心理自助）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🔶普拉提瑜伽市场数据（健身行业报告须下载核验）；✅体医融合政策（体育总局、卫健委）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