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601. “匹克球进社区，轻量新运动”——匹克球等轻量球类运动消费研究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研究对象：参与匹克球、壁球等轻量新兴球类运动的居民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核心问题/变量：新兴球类入门动机（低门槛/社交/轻运动）、场地费用与装备消费、社群约球、与网球/羽毛球替代关系、持续参与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新兴球类入门动机（低门槛/社交/轻运动）、场地费用与装备消费（持续参与）之间存在可检验的关系，且受群体差异（年龄/收入/地区/身份）调节（待验证）；H2：新兴球类入门动机（低门槛/社交/轻运动）、场地费用与装备消费是影响持续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🔶匹克球兴起报道（体育媒体须下载核验）；✅全民健身场地设施政策（体育总局）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社区球场/俱乐部问卷；获奖黑名单核对：近三年无匹克球获奖题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🔶匹克球兴起报道（体育媒体须下载核验）；✅全民健身场地设施政策（体育总局）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