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630. “钓鱼佬的装备库”——垂钓运动装备与休闲垂钓消费研究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研究对象：参与休闲垂钓的中青年男性（钓鱼佬群体）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核心问题/变量：垂钓投入（装备/路费/时间）、装备升级消费、黑坑/野钓选择、短视频钓鱼内容影响、家庭支持度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垂钓投入（装备/路费/时间）、装备升级消费（家庭支持度）之间存在可检验的关系，且受群体差异（年龄/收入/地区/身份）调节（待验证）；H2：垂钓投入（装备/路费/时间）、装备升级消费是影响家庭支持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🔶垂钓市场规模数据（行业报告须下载核验）；✅休闲渔业政策（农业农村部）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垂钓社群问卷+渔具商家访谈；获奖黑名单核对：近三年无垂钓装备获奖题（区别于青年回村钓鱼）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🔶垂钓市场规模数据（行业报告须下载核验）；✅休闲渔业政策（农业农村部）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