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650. “马拉松热背后的冷思考”——马拉松赛事报名与参赛消费研究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研究对象：参赛马拉松跑者（含首马新手）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核心问题/变量：报名中签难度、参赛支出（报名/装备/差旅）、赛事体验（补给/奖牌）、完赛仪式感消费、续赛意愿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H1：报名中签难度、参赛支出（报名/装备/差旅）显著影响续赛意愿（待验证）；H2：不同人群（年龄/收入/城市等级）在上述关系中存在调节作用（待验证）。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🔶马拉松报名与参赛数据（田协须下载核验）；✅马拉松赛事管理规范（中国田协）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赛事渠道问卷+跑团访谈；获奖黑名单核对：近三年无马拉松参赛消费获奖题（区别于524银发跑者）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🔶马拉松报名与参赛数据（田协须下载核验）；✅马拉松赛事管理规范（中国田协）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