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685. “夜跑团，城市里的追光者”——城市夜跑、跑团文化消费研究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研究对象：参加夜跑团/跑团的跑步爱好者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核心问题/变量：夜跑动机（下班解压/社交）、跑团组织（约跑/配速）、装备（夜跑灯/鞋）消费、跑步App与线上赛事、坚持机制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H1：夜跑动机（下班解压/社交）、跑团组织（约跑/配速）显著影响坚持机制（待验证）；H2：不同人群（年龄/收入/城市等级）在上述关系中存在调节作用（待验证）。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🔶夜跑与跑团文化报道（体育媒体须下载核验）；✅全民健身计划（国务院）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跑团社群问卷+团长访谈；获奖黑名单核对：近三年无夜跑团获奖题（区别于650马拉松参赛）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🔶夜跑与跑团文化报道（体育媒体须下载核验）；✅全民健身计划（国务院）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