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727. “广场舞经济，银发健身新消费”——广场舞装备与社团消费研究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研究对象：跳广场舞的中老年人及舞队领队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核心问题/变量：广场舞参与频次、装备（音响/服装/鞋）消费、舞队组织（会费/比赛）、场地争夺感知、健康效益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广场舞参与频次、装备（音响/服装/鞋）消费（健康效益）之间存在可检验的关系，且受群体差异（年龄/收入/地区/身份）调节（待验证）；H2：广场舞参与频次、装备（音响/服装/鞋）消费是影响健康效益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🔶广场舞消费报道（媒体须下载核验）；✅全民健身与广场舞管理政策（体育总局）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广场舞场地问卷+领队访谈；获奖黑名单核对：近三年无广场舞消费获奖题（区别于468银发文娱清理）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🔶广场舞消费报道（媒体须下载核验）；✅全民健身与广场舞管理政策（体育总局）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