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074. “滑雪场上，装备升级”——冰雪运动装备购买意愿与国产品牌认知研究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研究对象：冰雪运动爱好者（滑雪/滑冰）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核心问题/变量：参与水平、装备购买行为、国产vs进口偏好、消费升级意愿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H1：参与水平、装备购买行为显著影响消费升级意愿（待验证）；H2：不同人群（年龄/收入/城市等级）在上述关系中存在调节作用（待验证）。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冰雪经济总规模首次突破万亿元（国家体育总局冬运中心《大众冰雪消费市场研究报告(2025—2026冰雪季)》）；✅国产冰雪装备（滑雪板、雪蜡车等）通过跨境电商"出海"（新华网）；✅冰雪产业2016年3647亿元→2024年9800亿元（年均增幅21.09%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雪场/装备店/滑雪社群渠道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冰雪经济总规模首次突破万亿元（国家体育总局冬运中心《大众冰雪消费市场研究报告(2025—2026冰雪季)》）；✅国产冰雪装备（滑雪板、雪蜡车等）通过跨境电商"出海"（新华网）；✅冰雪产业2016年3647亿元→2024年9800亿元（年均增幅21.09%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