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768. “轻越野跑山，山野自由行”——越野跑、跑山运动消费研究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研究对象：参与越野跑/跑山（含山径赛）的跑者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核心问题/变量：越野跑动机（风景/挑战）、赛事报名（中签/价格）、装备（越野鞋/杖）消费、赛事补给与保障、受伤与恢复、复赛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越野跑动机（风景/挑战）、赛事报名（中签/价格）（复赛）之间存在可检验的关系，且受群体差异（年龄/收入/地区/身份）调节（待验证）；H2：越野跑动机（风景/挑战）、赛事报名（中签/价格）是影响复赛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🔶越野跑赛事报道（体育媒体须下载核验）；✅山地户外运动政策（体育总局）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越野跑社群问卷+赛事组委会访谈；获奖黑名单核对：近三年无越野跑获奖题（区别于650马拉松）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🔶越野跑赛事报道（体育媒体须下载核验）；✅山地户外运动政策（体育总局）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