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813. “健身房跑路，预付费之痛”——健身房预付费（年卡、私教）纠纷与消费研究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研究对象：办过健身房年卡/私教课（含遇跑路）的消费者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核心问题/变量：预付费动机与金额、跑路/闭店经历、退款维权难度、按月付vs年卡偏好、监管（预付卡备案）感知、再办卡意愿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H1：预付费动机与金额、跑路/闭店经历显著影响再办卡意愿（待验证）；H2：不同人群（年龄/收入/城市等级）在上述关系中存在调节作用（待验证）。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🔶健身行业预付卡整治（市场监管总局、体育总局）；🔶健身房跑路投诉数据（消协须下载核验）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健身社群问卷+消协投诉数据；获奖黑名单核对：近三年无健身房跑路获奖题（区别于154健身房泛题）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🔶健身行业预付卡整治（市场监管总局、体育总局）；🔶健身房跑路投诉数据（消协须下载核验）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