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876. “运动损伤康复，别让小伤变大”——运动康复（理疗、康复机构）消费研究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研究对象：经历运动损伤并接受康复（机构/医院）的运动爱好者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核心问题/变量：运动损伤类型（膝/踝/腰）、康复机构（运动康复vs医院理疗）选择、康复费用与疗程、恢复效果、防复发训练、保险报销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运动损伤类型（膝/踝/腰）、康复机构（运动康复vs医院理疗）选择（保险报销）之间存在可检验的关系，且受群体差异（年龄/收入/地区/身份）调节（待验证）；H2：运动损伤类型（膝/踝/腰）、康复机构（运动康复vs医院理疗）选择是影响保险报销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🔶运动康复产业发展（体育产业政策须下载核验）；✅运动医学诊疗规范（卫健委）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康复机构渠道问卷+治疗师访谈；获奖黑名单核对：近三年无运动康复获奖题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🔶运动康复产业发展（体育产业政策须下载核验）；✅运动医学诊疗规范（卫健委）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