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895. “骑行比赛报名，环城骑行”——城市骑行赛事（大众组）参与消费研究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确定行业：05_体育健身与户外运动（选择理由：贴合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研究对象：参加城市骑行赛/骑行节大众组的骑友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核心问题/变量：报名动机（挑战/氛围）、报名费与赛事包、赛道体验（封路/补给）、装备要求、完赛纪念、复赛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报名动机（挑战/氛围）、报名费与赛事包（复赛）之间存在可检验的关系，且受群体差异（年龄/收入/地区/身份）调节（待验证）；H2：报名动机（挑战/氛围）、报名费与赛事包是影响复赛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🔶城市骑行赛事数据（中国自行车协会须下载核验）；✅全民健身赛事政策（体育总局）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赛事渠道问卷+组委会访谈；获奖黑名单核对：近三年无骑行赛事获奖题（区别于694骑行通勤/003中老年骑行）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🔶城市骑行赛事数据（中国自行车协会须下载核验）；✅全民健身赛事政策（体育总局）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