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904. “舞龙舞狮进校园，非遗体育课”——传统体育项目（舞龙、武术、毽球）进校园研究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研究对象：开展传统体育课程的中小学师生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核心问题/变量：传统体育进课堂（舞龙/武术/八段锦）、学生兴趣参与度、师资与器材、与传统课间操对比、文化传承效果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传统体育进课堂（舞龙/武术/八段锦）、学生兴趣参与度（文化传承效果）之间存在可检验的关系，且受群体差异（年龄/收入/地区/身份）调节（待验证）；H2：传统体育进课堂（舞龙/武术/八段锦）、学生兴趣参与度是影响文化传承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🔶传统体育进校园政策（教育部、体育总局）；🔶非遗体育课程案例（须下载核验）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学校渠道问卷+体育教师访谈；获奖黑名单核对：近三年无传统体育进校园获奖题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🔶传统体育进校园政策（教育部、体育总局）；🔶非遗体育课程案例（须下载核验）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