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919. “桨板SUP，水上新运动”——桨板（SUP）、皮划艇水上运动消费研究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研究对象：体验桨板/皮划艇（含俱乐部课）的玩家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核心问题/变量：水上运动参与动机（亲水/社交/亲子）、俱乐部课程与装备、单次体验价（百元级）、安全（救生衣）认知、复玩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水上运动参与动机（亲水/社交/亲子）、俱乐部课程与装备（复玩）之间存在可检验的关系，且受群体差异（年龄/收入/地区/身份）调节（待验证）；H2：水上运动参与动机（亲水/社交/亲子）、俱乐部课程与装备是影响复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🔶水上运动产业发展政策（体育总局）；🔶桨板市场报道（须下载核验）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水上俱乐部问卷+教练访谈；获奖黑名单核对：近三年无桨板获奖题（区别于551桨板皮划艇泛题，聚焦消费升级）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🔶水上运动产业发展政策（体育总局）；🔶桨板市场报道（须下载核验）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