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959. “匹克球社交局，年轻中产”——匹克球社群运动（社交化）参与研究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研究对象：参与匹克球社群活动（约球/比赛）的年轻中产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核心问题/变量：匹克球社交属性（搭子/局）、场地约球平台、装备与服装消费、社群组织、与网球/羽毛球迁移、持续参与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匹克球社交属性（搭子/局）、场地约球平台（持续参与）之间存在可检验的关系，且受群体差异（年龄/收入/地区/身份）调节（待验证）；H2：匹克球社交属性（搭子/局）、场地约球平台是影响持续参与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🔶新兴球类运动推广政策（体育总局）；🔶匹克球热度数据（须下载核验）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匹克球社群问卷+场馆访谈；获奖黑名单核对：近三年无匹克球获奖题（区别于601匹克球消费泛题，聚焦社交化）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🔶新兴球类运动推广政策（体育总局）；🔶匹克球热度数据（须下载核验）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