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1047. “药膳茶饮，新中式养生水”——新中式养生饮品（药膳茶、养生水）消费研究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研究对象：消费新中式养生饮品（枸杞红枣水/药膳炖品/养生茶）的消费者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核心问题/变量：养生饮品消费动机（熬夜补救/节气养生）、配料表信任（真材实料）、价格接受（高于普通茶饮）、复购场景、功效预期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H1：养生饮品消费动机（熬夜补救/节气养生）、配料表信任（真材实料）显著影响功效预期（待验证）；H2：不同人群（年龄/收入/城市等级）在上述关系中存在调节作用（待验证）。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🔶饮品食品安全与功效宣传规范（市场监管总局）；🔶养生茶饮市场数据（须下载核验）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茶饮门店问卷+品牌研发访谈；获奖黑名单核对：近三年无新中式养生饮品获奖题（区别于808中药代茶饮，聚焦商业茶饮品牌）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🔶饮品食品安全与功效宣传规范（市场监管总局）；🔶养生茶饮市场数据（须下载核验）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